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C8" w:rsidRDefault="00A22EC8" w:rsidP="00A22EC8">
      <w:r>
        <w:t>Problem 7-8 (LO 3, 5) Translate a trial balance an</w:t>
      </w:r>
      <w:r w:rsidR="00000377">
        <w:t>d prepare a consolidation work-</w:t>
      </w:r>
      <w:r>
        <w:t>sheet. Balfo</w:t>
      </w:r>
      <w:r w:rsidR="00000377">
        <w:t xml:space="preserve">ur Corporation acquired 100% of </w:t>
      </w:r>
      <w:r>
        <w:t>Tobac Inc., a foreign corporation, for 33,000,000 FC. The a</w:t>
      </w:r>
      <w:r w:rsidR="00000377">
        <w:t xml:space="preserve">cquisition, which was accounted </w:t>
      </w:r>
      <w:r>
        <w:t>for as a purchase, occurred on July 1, 20X5, when Tobac’s equity, in FC, was as follows:</w:t>
      </w:r>
    </w:p>
    <w:p w:rsidR="00A22EC8" w:rsidRDefault="00A22EC8" w:rsidP="00A22EC8">
      <w:bookmarkStart w:id="0" w:name="_GoBack"/>
      <w:bookmarkEnd w:id="0"/>
    </w:p>
    <w:p w:rsidR="00A22EC8" w:rsidRDefault="00A22EC8" w:rsidP="00A22EC8">
      <w:r>
        <w:t>Common stock. .. .... .. .. . . . .. . . . . .. . .... ..</w:t>
      </w:r>
      <w:r>
        <w:tab/>
        <w:t xml:space="preserve"> 19,000,000 FC</w:t>
      </w:r>
    </w:p>
    <w:p w:rsidR="00A22EC8" w:rsidRDefault="00A22EC8" w:rsidP="00A22EC8">
      <w:r>
        <w:t>Paid-in capital in</w:t>
      </w:r>
      <w:r>
        <w:t xml:space="preserve"> </w:t>
      </w:r>
      <w:r>
        <w:t>excess of</w:t>
      </w:r>
      <w:r>
        <w:t xml:space="preserve"> </w:t>
      </w:r>
      <w:r>
        <w:t>par . . . .. . . . . ... .. ..</w:t>
      </w:r>
      <w:r>
        <w:tab/>
        <w:t xml:space="preserve"> 8,480,000</w:t>
      </w:r>
    </w:p>
    <w:p w:rsidR="00A22EC8" w:rsidRDefault="00A22EC8" w:rsidP="00A22EC8">
      <w:r>
        <w:t>Retained earnings .... .. .. . . . .. . . . . .. . .... ..</w:t>
      </w:r>
      <w:r>
        <w:tab/>
        <w:t xml:space="preserve"> 2,520,000</w:t>
      </w:r>
    </w:p>
    <w:p w:rsidR="00A22EC8" w:rsidRDefault="00A22EC8" w:rsidP="00A22EC8"/>
    <w:p w:rsidR="00A22EC8" w:rsidRDefault="00A22EC8" w:rsidP="00A22EC8">
      <w:r>
        <w:t>Any excess of cost over book value is traceable to equipment which is to be depreciated over</w:t>
      </w:r>
    </w:p>
    <w:p w:rsidR="00A22EC8" w:rsidRDefault="00A22EC8" w:rsidP="00A22EC8">
      <w:r>
        <w:t>10 years. Balfour uses the simple equity method to account for its investment in Tobac.</w:t>
      </w:r>
    </w:p>
    <w:p w:rsidR="00A22EC8" w:rsidRDefault="00A22EC8" w:rsidP="00A22EC8">
      <w:r>
        <w:t>On April 1, 20X7, Tobac acquired additional equipment costing 4,000,000 FC. Equipment</w:t>
      </w:r>
    </w:p>
    <w:p w:rsidR="00A22EC8" w:rsidRDefault="00A22EC8" w:rsidP="00A22EC8">
      <w:r>
        <w:t>is depreciated by the straight-line method over 10 years. No other equipment had been acquired</w:t>
      </w:r>
    </w:p>
    <w:p w:rsidR="00A22EC8" w:rsidRDefault="00A22EC8" w:rsidP="00A22EC8">
      <w:r>
        <w:t>or disposed of since 20X4. Tobac employs the LIFO inventory method. Ending inventory on</w:t>
      </w:r>
    </w:p>
    <w:p w:rsidR="00A22EC8" w:rsidRDefault="00A22EC8" w:rsidP="00A22EC8">
      <w:r>
        <w:t>December 31, 20X7, consists of the following:</w:t>
      </w:r>
    </w:p>
    <w:p w:rsidR="00A22EC8" w:rsidRDefault="00A22EC8" w:rsidP="00A22EC8"/>
    <w:p w:rsidR="00A22EC8" w:rsidRDefault="00A22EC8" w:rsidP="00A22EC8">
      <w:r>
        <w:t>Acquired in</w:t>
      </w:r>
      <w:r w:rsidR="00000377">
        <w:t xml:space="preserve"> </w:t>
      </w:r>
      <w:r>
        <w:t>the 1stquarter of20X4 . . . . . .. .. .. .. . . .</w:t>
      </w:r>
      <w:r>
        <w:tab/>
        <w:t xml:space="preserve"> 1,000,000 FC</w:t>
      </w:r>
    </w:p>
    <w:p w:rsidR="00A22EC8" w:rsidRDefault="00A22EC8" w:rsidP="00A22EC8">
      <w:r>
        <w:t>Acquired in</w:t>
      </w:r>
      <w:r w:rsidR="00000377">
        <w:t xml:space="preserve"> </w:t>
      </w:r>
      <w:r>
        <w:t>the 1stquarter of20X5 . . . . . .. .. .. .. . . .</w:t>
      </w:r>
      <w:r>
        <w:tab/>
        <w:t xml:space="preserve"> 500,000</w:t>
      </w:r>
    </w:p>
    <w:p w:rsidR="00A22EC8" w:rsidRDefault="00A22EC8" w:rsidP="00A22EC8">
      <w:r>
        <w:t>Acquired in</w:t>
      </w:r>
      <w:r w:rsidR="00000377">
        <w:t xml:space="preserve"> </w:t>
      </w:r>
      <w:r>
        <w:t>the 1stquarter of20X7 . . . . . .. .. .. .. . . .</w:t>
      </w:r>
      <w:r>
        <w:tab/>
        <w:t xml:space="preserve"> 6,500,000</w:t>
      </w:r>
    </w:p>
    <w:p w:rsidR="00A22EC8" w:rsidRDefault="00A22EC8" w:rsidP="00A22EC8"/>
    <w:p w:rsidR="00A22EC8" w:rsidRDefault="00A22EC8" w:rsidP="00A22EC8">
      <w:r>
        <w:t>The cost of sales is traceable to goods purchased during 20X7 as follows:</w:t>
      </w:r>
    </w:p>
    <w:p w:rsidR="00A22EC8" w:rsidRDefault="00A22EC8" w:rsidP="00A22EC8"/>
    <w:p w:rsidR="00A22EC8" w:rsidRDefault="00A22EC8" w:rsidP="00A22EC8">
      <w:r>
        <w:t>Acquired uniformly</w:t>
      </w:r>
      <w:r>
        <w:t xml:space="preserve"> </w:t>
      </w:r>
      <w:r>
        <w:t>over the</w:t>
      </w:r>
      <w:r>
        <w:t xml:space="preserve"> </w:t>
      </w:r>
      <w:r>
        <w:t>last nine</w:t>
      </w:r>
      <w:r>
        <w:t xml:space="preserve"> </w:t>
      </w:r>
      <w:r>
        <w:t>months .. . . . . .. . .</w:t>
      </w:r>
      <w:r>
        <w:tab/>
        <w:t xml:space="preserve"> 23,400,000 FC</w:t>
      </w:r>
    </w:p>
    <w:p w:rsidR="00A22EC8" w:rsidRDefault="00A22EC8" w:rsidP="00A22EC8">
      <w:r>
        <w:t>Acquired in</w:t>
      </w:r>
      <w:r>
        <w:t xml:space="preserve"> </w:t>
      </w:r>
      <w:r>
        <w:t>the 1st quarter ... .. .. .. .. .. . . . .. . . .. . .</w:t>
      </w:r>
      <w:r>
        <w:tab/>
        <w:t xml:space="preserve"> 4,200,000</w:t>
      </w:r>
    </w:p>
    <w:p w:rsidR="00A22EC8" w:rsidRDefault="00A22EC8" w:rsidP="00A22EC8"/>
    <w:p w:rsidR="00A22EC8" w:rsidRDefault="00A22EC8" w:rsidP="00A22EC8">
      <w:r>
        <w:t>Other expenses were incurred evenly over the year.</w:t>
      </w:r>
    </w:p>
    <w:p w:rsidR="00A22EC8" w:rsidRDefault="00A22EC8" w:rsidP="00A22EC8">
      <w:r>
        <w:t>On April 1, 20X7, Tobac borrowed $1,280,000 from the parent company in order to help</w:t>
      </w:r>
    </w:p>
    <w:p w:rsidR="00A22EC8" w:rsidRDefault="00A22EC8" w:rsidP="00A22EC8">
      <w:r>
        <w:lastRenderedPageBreak/>
        <w:t>ﬁnance the purchase of equipment. The note is due in one year and bears interest at the rate of</w:t>
      </w:r>
    </w:p>
    <w:p w:rsidR="00A22EC8" w:rsidRDefault="00A22EC8" w:rsidP="00A22EC8">
      <w:r>
        <w:t>8%. Principal and interest amounts are due to the parent in dollars.</w:t>
      </w:r>
    </w:p>
    <w:p w:rsidR="00A22EC8" w:rsidRDefault="00A22EC8" w:rsidP="00A22EC8">
      <w:r>
        <w:t>Various spot rates are as follows:</w:t>
      </w:r>
    </w:p>
    <w:p w:rsidR="00A22EC8" w:rsidRDefault="00A22EC8" w:rsidP="00A22EC8"/>
    <w:p w:rsidR="00A22EC8" w:rsidRDefault="00A22EC8" w:rsidP="00A22EC8">
      <w:r>
        <w:t xml:space="preserve">                                                        1 FC =</w:t>
      </w:r>
      <w:r>
        <w:tab/>
        <w:t xml:space="preserve">                                                                     1 FC =</w:t>
      </w:r>
    </w:p>
    <w:p w:rsidR="00A22EC8" w:rsidRDefault="00A22EC8" w:rsidP="00A22EC8">
      <w:r>
        <w:t xml:space="preserve">1st </w:t>
      </w:r>
      <w:r>
        <w:t>Quarter, 20X4 Average.. .... ..</w:t>
      </w:r>
      <w:r>
        <w:t xml:space="preserve"> $0.46</w:t>
      </w:r>
      <w:r>
        <w:tab/>
        <w:t xml:space="preserve"> December 31, 20X6 . . . . .. . . . . ... .</w:t>
      </w:r>
      <w:r>
        <w:tab/>
        <w:t xml:space="preserve"> $0.60</w:t>
      </w:r>
    </w:p>
    <w:p w:rsidR="00A22EC8" w:rsidRDefault="00A22EC8" w:rsidP="00A22EC8">
      <w:r>
        <w:t>20X4Average. . . . . ... .. .. .... ..</w:t>
      </w:r>
      <w:r>
        <w:tab/>
        <w:t xml:space="preserve"> 0.49</w:t>
      </w:r>
      <w:r>
        <w:tab/>
        <w:t xml:space="preserve"> 1st Quarter, 20X7Average. . . . . ... .</w:t>
      </w:r>
      <w:r>
        <w:tab/>
        <w:t xml:space="preserve"> 0.62</w:t>
      </w:r>
    </w:p>
    <w:p w:rsidR="00A22EC8" w:rsidRDefault="00A22EC8" w:rsidP="00A22EC8">
      <w:r>
        <w:t>January 1,20X5 . . . ... .. .. .... ..</w:t>
      </w:r>
      <w:r>
        <w:tab/>
        <w:t xml:space="preserve"> 0.51</w:t>
      </w:r>
      <w:r>
        <w:tab/>
        <w:t xml:space="preserve"> April 1,20X7 .. . .. . . . . .. . . . . ... .</w:t>
      </w:r>
      <w:r>
        <w:tab/>
        <w:t xml:space="preserve"> 0.64</w:t>
      </w:r>
    </w:p>
    <w:p w:rsidR="00A22EC8" w:rsidRDefault="00A22EC8" w:rsidP="00A22EC8">
      <w:r>
        <w:t xml:space="preserve">1st </w:t>
      </w:r>
      <w:r>
        <w:t>Quarter, 20X5 Average.. .... ..</w:t>
      </w:r>
      <w:r>
        <w:t xml:space="preserve"> 0.53</w:t>
      </w:r>
      <w:r>
        <w:tab/>
        <w:t xml:space="preserve"> 20X7 Average.</w:t>
      </w:r>
      <w:r>
        <w:t>. . .. . . . . .. . . . . ... .</w:t>
      </w:r>
      <w:r>
        <w:t xml:space="preserve"> </w:t>
      </w:r>
      <w:r>
        <w:t xml:space="preserve">            </w:t>
      </w:r>
      <w:r>
        <w:t>0.67</w:t>
      </w:r>
    </w:p>
    <w:p w:rsidR="00A22EC8" w:rsidRDefault="00A22EC8" w:rsidP="00A22EC8">
      <w:r>
        <w:t>July 1,20X5 .. . . . . ... .. .. .... ..</w:t>
      </w:r>
      <w:r>
        <w:tab/>
        <w:t xml:space="preserve"> 0.55</w:t>
      </w:r>
      <w:r>
        <w:tab/>
        <w:t xml:space="preserve"> Last nine months, 20X7 Average. ... .</w:t>
      </w:r>
      <w:r>
        <w:tab/>
        <w:t xml:space="preserve"> 0.66</w:t>
      </w:r>
    </w:p>
    <w:p w:rsidR="00A22EC8" w:rsidRDefault="00A22EC8" w:rsidP="00A22EC8">
      <w:r>
        <w:t>December 31,20X5 ... .. .. .... ..</w:t>
      </w:r>
      <w:r>
        <w:tab/>
        <w:t xml:space="preserve"> 0.58</w:t>
      </w:r>
      <w:r>
        <w:tab/>
        <w:t xml:space="preserve"> December 31, 20X7 . . . . .. . . . . ... .</w:t>
      </w:r>
      <w:r>
        <w:tab/>
        <w:t xml:space="preserve"> 0.65</w:t>
      </w:r>
    </w:p>
    <w:p w:rsidR="00A22EC8" w:rsidRDefault="00A22EC8" w:rsidP="00A22EC8">
      <w:r>
        <w:t>Las</w:t>
      </w:r>
      <w:r>
        <w:t>t six months,20X5</w:t>
      </w:r>
      <w:r w:rsidR="00000377">
        <w:t xml:space="preserve"> </w:t>
      </w:r>
      <w:r>
        <w:t>Average ... ..</w:t>
      </w:r>
      <w:r>
        <w:t xml:space="preserve"> 0.57</w:t>
      </w:r>
    </w:p>
    <w:p w:rsidR="00A22EC8" w:rsidRDefault="00A22EC8" w:rsidP="00A22EC8">
      <w:r>
        <w:t>20X6Average. . . . . ... .. .. .... ..</w:t>
      </w:r>
      <w:r>
        <w:tab/>
        <w:t xml:space="preserve"> 0.58</w:t>
      </w:r>
    </w:p>
    <w:p w:rsidR="00A22EC8" w:rsidRDefault="00A22EC8" w:rsidP="00A22EC8"/>
    <w:p w:rsidR="005D1E05" w:rsidRDefault="00A22EC8" w:rsidP="00A22EC8">
      <w:r>
        <w:t>The December 31, 20X7, trial balances for Tobac and Balfour are as follows:</w:t>
      </w:r>
    </w:p>
    <w:p w:rsidR="00A22EC8" w:rsidRDefault="00A22EC8" w:rsidP="00A22EC8">
      <w:r>
        <w:t xml:space="preserve">                                                                                        Balfour Corporation</w:t>
      </w:r>
      <w:r>
        <w:tab/>
        <w:t xml:space="preserve">Tobac, </w:t>
      </w:r>
      <w:r>
        <w:t>Inc.</w:t>
      </w:r>
    </w:p>
    <w:p w:rsidR="00A22EC8" w:rsidRDefault="00A22EC8" w:rsidP="00A22EC8">
      <w:r>
        <w:t xml:space="preserve">Cash .. .... .. . . . . ... .. .. .... .. . .. . . . . .. .. . .. . . . . .. .. </w:t>
      </w:r>
      <w:r>
        <w:t xml:space="preserve">     </w:t>
      </w:r>
      <w:r>
        <w:t xml:space="preserve"> $  4,463,200</w:t>
      </w:r>
      <w:r>
        <w:tab/>
        <w:t xml:space="preserve"> 3,087,385 FC</w:t>
      </w:r>
    </w:p>
    <w:p w:rsidR="00A22EC8" w:rsidRDefault="00A22EC8" w:rsidP="00A22EC8">
      <w:r>
        <w:t>Net Accounts Receivable.. .. .... .. . .. . . . . .. .. . .. . . . . .. ..</w:t>
      </w:r>
      <w:r>
        <w:tab/>
        <w:t xml:space="preserve"> 15,350,000</w:t>
      </w:r>
      <w:r>
        <w:tab/>
        <w:t xml:space="preserve"> 12,000,000</w:t>
      </w:r>
    </w:p>
    <w:p w:rsidR="00A22EC8" w:rsidRDefault="00A22EC8" w:rsidP="00A22EC8">
      <w:r>
        <w:t>Inventory ... .. . . . . ... .. .. .... .. . .. . . . . .. .. . .. . . . . .. ..</w:t>
      </w:r>
      <w:r>
        <w:tab/>
        <w:t xml:space="preserve"> 16,300,000</w:t>
      </w:r>
      <w:r>
        <w:tab/>
        <w:t xml:space="preserve"> 8,000,000</w:t>
      </w:r>
    </w:p>
    <w:p w:rsidR="00A22EC8" w:rsidRDefault="00A22EC8" w:rsidP="00A22EC8">
      <w:r>
        <w:t>Due</w:t>
      </w:r>
      <w:r>
        <w:t xml:space="preserve"> </w:t>
      </w:r>
      <w:r>
        <w:t>from Tobac. . . . ... .. .. .... .. . .. . . . . .. .. . .. . . . . .. ..</w:t>
      </w:r>
      <w:r>
        <w:tab/>
        <w:t xml:space="preserve"> 1,356,800</w:t>
      </w:r>
    </w:p>
    <w:p w:rsidR="00A22EC8" w:rsidRDefault="00A22EC8" w:rsidP="00A22EC8">
      <w:r>
        <w:t xml:space="preserve">Investment inTobac —See Note A. .. . .. . </w:t>
      </w:r>
      <w:r>
        <w:t xml:space="preserve">. . . .. .. . .. . . . . .. </w:t>
      </w:r>
      <w:r>
        <w:t>23,712,363</w:t>
      </w:r>
    </w:p>
    <w:p w:rsidR="00A22EC8" w:rsidRDefault="00A22EC8" w:rsidP="00A22EC8">
      <w:r>
        <w:t>Depreciable Assets . ... .. .. .... .. . .. . . . . .. .. . .. . . . . .. ..</w:t>
      </w:r>
      <w:r>
        <w:tab/>
        <w:t xml:space="preserve"> 68,000,000</w:t>
      </w:r>
      <w:r>
        <w:tab/>
        <w:t xml:space="preserve"> 34,000,000</w:t>
      </w:r>
    </w:p>
    <w:p w:rsidR="00A22EC8" w:rsidRDefault="00A22EC8" w:rsidP="00A22EC8">
      <w:r>
        <w:t>Accumulated Depreciation .. .... .. . .. . . . . .. .. . .. . . . . .. ..  (42,000,000)</w:t>
      </w:r>
      <w:r>
        <w:tab/>
        <w:t xml:space="preserve"> (12,300,000)</w:t>
      </w:r>
    </w:p>
    <w:p w:rsidR="00A22EC8" w:rsidRDefault="00A22EC8" w:rsidP="00A22EC8">
      <w:r>
        <w:t>Due</w:t>
      </w:r>
      <w:r>
        <w:t xml:space="preserve"> </w:t>
      </w:r>
      <w:r>
        <w:t>to Balfour . . . . . ... .. .. .... .. . .. . . . . .. .. . .. . . . . .. ..</w:t>
      </w:r>
      <w:r>
        <w:tab/>
        <w:t xml:space="preserve"> </w:t>
      </w:r>
      <w:r>
        <w:tab/>
      </w:r>
      <w:r>
        <w:tab/>
      </w:r>
      <w:r>
        <w:t>(2,087,385)</w:t>
      </w:r>
    </w:p>
    <w:p w:rsidR="00A22EC8" w:rsidRDefault="00A22EC8" w:rsidP="00A22EC8">
      <w:r>
        <w:t>Other Liabilities . . . . ... .. .. .... .. . .. . . . . .. .. . .. . . . . .. ..  (27,000,000)</w:t>
      </w:r>
      <w:r>
        <w:tab/>
        <w:t xml:space="preserve"> (3,700,000)</w:t>
      </w:r>
    </w:p>
    <w:p w:rsidR="00A22EC8" w:rsidRDefault="00A22EC8" w:rsidP="00A22EC8">
      <w:r>
        <w:lastRenderedPageBreak/>
        <w:t>Common Stock . . . . ... .. .. .... .. . .. . . . . .. .. . .. . . . . .. ..  (35,000,000)</w:t>
      </w:r>
      <w:r>
        <w:tab/>
        <w:t xml:space="preserve"> (19,000,000)</w:t>
      </w:r>
    </w:p>
    <w:p w:rsidR="00A22EC8" w:rsidRDefault="00A22EC8" w:rsidP="00A22EC8">
      <w:r>
        <w:t>Paid-In Capital in Excess</w:t>
      </w:r>
      <w:r>
        <w:t xml:space="preserve"> </w:t>
      </w:r>
      <w:r>
        <w:t xml:space="preserve">of Par ... .. . .. . </w:t>
      </w:r>
      <w:r>
        <w:t>. . . .. .. . .. . . . . .. ..</w:t>
      </w:r>
      <w:r>
        <w:t>(2,000,000)</w:t>
      </w:r>
      <w:r>
        <w:tab/>
        <w:t xml:space="preserve"> (8,480,000)</w:t>
      </w:r>
    </w:p>
    <w:p w:rsidR="00A22EC8" w:rsidRDefault="00A22EC8" w:rsidP="00A22EC8">
      <w:r>
        <w:t>Retained</w:t>
      </w:r>
      <w:r>
        <w:t xml:space="preserve"> </w:t>
      </w:r>
      <w:r>
        <w:t xml:space="preserve">Earnings, January 1, 20X7. . .. . </w:t>
      </w:r>
      <w:r>
        <w:t>. . . .. .. . .. . . . . .. ..</w:t>
      </w:r>
      <w:r>
        <w:t>(4,500,000)</w:t>
      </w:r>
      <w:r>
        <w:tab/>
        <w:t xml:space="preserve"> (7,520,000)</w:t>
      </w:r>
    </w:p>
    <w:p w:rsidR="00A22EC8" w:rsidRDefault="00A22EC8" w:rsidP="00A22EC8">
      <w:r>
        <w:t xml:space="preserve">Sales .. .... .. . . . . ... .. .. .... .. . .. . . . . .. .. . .. . . . . .. .. </w:t>
      </w:r>
      <w:r>
        <w:t xml:space="preserve">      </w:t>
      </w:r>
      <w:r>
        <w:t xml:space="preserve"> (98,000,000)</w:t>
      </w:r>
      <w:r>
        <w:tab/>
        <w:t xml:space="preserve"> (40,000,000)</w:t>
      </w:r>
    </w:p>
    <w:p w:rsidR="00A22EC8" w:rsidRDefault="00A22EC8" w:rsidP="00A22EC8">
      <w:r>
        <w:t>Cost of</w:t>
      </w:r>
      <w:r>
        <w:t xml:space="preserve"> </w:t>
      </w:r>
      <w:r>
        <w:t>Sales .. . . . . ... .. .. .... .. . .. . . . . .. .. . .. . . . . .. ..</w:t>
      </w:r>
      <w:r>
        <w:tab/>
        <w:t xml:space="preserve"> 64,000,000</w:t>
      </w:r>
      <w:r>
        <w:tab/>
        <w:t xml:space="preserve"> 27,600,000</w:t>
      </w:r>
    </w:p>
    <w:p w:rsidR="00A22EC8" w:rsidRDefault="00A22EC8" w:rsidP="00A22EC8">
      <w:r>
        <w:t>Depreciation Expense .. .. .. .... .. . .. . . . . .. .. . .. . . . . .. ..</w:t>
      </w:r>
      <w:r>
        <w:tab/>
        <w:t xml:space="preserve"> 8,076,800</w:t>
      </w:r>
      <w:r>
        <w:tab/>
        <w:t xml:space="preserve"> 3,300,000</w:t>
      </w:r>
    </w:p>
    <w:p w:rsidR="00A22EC8" w:rsidRDefault="00A22EC8" w:rsidP="00A22EC8">
      <w:r>
        <w:t>Interest Expense</w:t>
      </w:r>
      <w:r>
        <w:t xml:space="preserve"> </w:t>
      </w:r>
      <w:r>
        <w:t>on Balfour</w:t>
      </w:r>
    </w:p>
    <w:p w:rsidR="00A22EC8" w:rsidRDefault="00A22EC8" w:rsidP="00A22EC8">
      <w:r>
        <w:t>Loan (accrued on</w:t>
      </w:r>
      <w:r>
        <w:t xml:space="preserve"> </w:t>
      </w:r>
      <w:r>
        <w:t>December 31, 20X7) —See Note B. . . . .. ..</w:t>
      </w:r>
      <w:r>
        <w:tab/>
      </w:r>
      <w:r>
        <w:tab/>
      </w:r>
      <w:r>
        <w:t xml:space="preserve"> 118,154</w:t>
      </w:r>
    </w:p>
    <w:p w:rsidR="00A22EC8" w:rsidRDefault="00A22EC8" w:rsidP="00A22EC8">
      <w:r>
        <w:t>Exchange Gain</w:t>
      </w:r>
      <w:r>
        <w:t xml:space="preserve"> </w:t>
      </w:r>
      <w:r>
        <w:t>on</w:t>
      </w:r>
      <w:r>
        <w:t xml:space="preserve"> </w:t>
      </w:r>
      <w:r>
        <w:t>Balfour Loan—See Note B .. .. . .. . . . . .. ..</w:t>
      </w:r>
      <w:r>
        <w:tab/>
      </w:r>
      <w:r>
        <w:tab/>
      </w:r>
      <w:r>
        <w:t xml:space="preserve"> (30,769)</w:t>
      </w:r>
    </w:p>
    <w:p w:rsidR="00A22EC8" w:rsidRDefault="00A22EC8" w:rsidP="00A22EC8">
      <w:r>
        <w:t>Other Expenses . . . . ... .. .. .... .. . .. . . . . .. .. . .. . . . . .. ..</w:t>
      </w:r>
      <w:r>
        <w:tab/>
        <w:t xml:space="preserve"> 10,000,000</w:t>
      </w:r>
      <w:r>
        <w:tab/>
        <w:t xml:space="preserve"> 5,012,615</w:t>
      </w:r>
    </w:p>
    <w:p w:rsidR="00A22EC8" w:rsidRDefault="00A22EC8" w:rsidP="00A22EC8">
      <w:r>
        <w:t>Interest Income. . . . . ... .. .. .... .. . .. . . . . .. .. . .. . . . . .. ..</w:t>
      </w:r>
      <w:r>
        <w:tab/>
        <w:t xml:space="preserve"> (76,800)</w:t>
      </w:r>
    </w:p>
    <w:p w:rsidR="00A22EC8" w:rsidRDefault="00A22EC8" w:rsidP="00A22EC8">
      <w:r>
        <w:t>Subsidiary Income. . ... .. .. .... .. . .. . . . . .. .. . .. . . . . .. ..</w:t>
      </w:r>
      <w:r>
        <w:tab/>
        <w:t xml:space="preserve"> (2,682,363)</w:t>
      </w:r>
    </w:p>
    <w:p w:rsidR="00A22EC8" w:rsidRDefault="00A22EC8" w:rsidP="00A22EC8">
      <w:r>
        <w:t>Total. .... .. . . . . ... .. .. .... .. . .. . . . . .. .. . .. . . . . .. ..  $</w:t>
      </w:r>
      <w:r>
        <w:tab/>
      </w:r>
      <w:r>
        <w:tab/>
        <w:t>0</w:t>
      </w:r>
      <w:r>
        <w:tab/>
      </w:r>
      <w:r>
        <w:t xml:space="preserve">     </w:t>
      </w:r>
      <w:r>
        <w:t xml:space="preserve"> 0 FC</w:t>
      </w:r>
    </w:p>
    <w:p w:rsidR="00A22EC8" w:rsidRDefault="00A22EC8" w:rsidP="00A22EC8"/>
    <w:p w:rsidR="00A22EC8" w:rsidRDefault="00A22EC8" w:rsidP="00A22EC8">
      <w:r>
        <w:t>Note A —Balfour’s investment in Tobac consists of the following:</w:t>
      </w:r>
    </w:p>
    <w:p w:rsidR="00A22EC8" w:rsidRDefault="00A22EC8" w:rsidP="00A22EC8"/>
    <w:p w:rsidR="00A22EC8" w:rsidRDefault="00A22EC8" w:rsidP="00A22EC8">
      <w:r>
        <w:t>Initial</w:t>
      </w:r>
      <w:r>
        <w:t xml:space="preserve"> </w:t>
      </w:r>
      <w:r w:rsidR="00000377">
        <w:t>investment (33,000,000 FC x</w:t>
      </w:r>
      <w:r>
        <w:t xml:space="preserve"> $0.55) . .. .... .. . .. .. . .</w:t>
      </w:r>
      <w:r>
        <w:tab/>
        <w:t xml:space="preserve"> $18,150,000</w:t>
      </w:r>
    </w:p>
    <w:p w:rsidR="00A22EC8" w:rsidRDefault="00A22EC8" w:rsidP="00A22EC8">
      <w:r>
        <w:t>Last six mo</w:t>
      </w:r>
      <w:r w:rsidR="00000377">
        <w:t>nths, 20X5income (2,000,000 FC x</w:t>
      </w:r>
      <w:r>
        <w:t xml:space="preserve"> $0.57) . .. .. . .</w:t>
      </w:r>
      <w:r>
        <w:tab/>
        <w:t xml:space="preserve"> 1,140,000</w:t>
      </w:r>
    </w:p>
    <w:p w:rsidR="00A22EC8" w:rsidRDefault="00A22EC8" w:rsidP="00A22EC8">
      <w:r>
        <w:t>20X6 income (3,000,00</w:t>
      </w:r>
      <w:r w:rsidR="00000377">
        <w:t>0 FC x</w:t>
      </w:r>
      <w:r>
        <w:t xml:space="preserve"> $0.58). .... .. .... .. . .. .. . .</w:t>
      </w:r>
      <w:r>
        <w:tab/>
        <w:t xml:space="preserve"> 1,740,000</w:t>
      </w:r>
    </w:p>
    <w:p w:rsidR="00A22EC8" w:rsidRDefault="00A22EC8" w:rsidP="00A22EC8">
      <w:r>
        <w:t>20X7 income.. .... .. . .. . . . . .. . . . . ... .. .. .... .. . .. . . . .</w:t>
      </w:r>
      <w:r>
        <w:tab/>
        <w:t xml:space="preserve"> 2,682,363</w:t>
      </w:r>
    </w:p>
    <w:p w:rsidR="00A22EC8" w:rsidRDefault="00A22EC8" w:rsidP="00A22EC8">
      <w:r>
        <w:t>Balance .. .. .... .. . .. . . . . .. . . . . ... .. .. .... .. . .. . . . .</w:t>
      </w:r>
      <w:r>
        <w:tab/>
        <w:t xml:space="preserve"> $23,712,363</w:t>
      </w:r>
    </w:p>
    <w:p w:rsidR="00A22EC8" w:rsidRDefault="00A22EC8" w:rsidP="00A22EC8"/>
    <w:p w:rsidR="00A22EC8" w:rsidRDefault="00A22EC8" w:rsidP="00A22EC8">
      <w:r>
        <w:t>Note B —The original loan from Balfour was 2,000,000 F</w:t>
      </w:r>
      <w:r w:rsidR="00000377">
        <w:t>C, or $1,280,000 (2,000,000 FC x</w:t>
      </w:r>
      <w:r>
        <w:t xml:space="preserve"> $0.64). On December</w:t>
      </w:r>
    </w:p>
    <w:p w:rsidR="00A22EC8" w:rsidRDefault="00A22EC8" w:rsidP="00A22EC8">
      <w:r>
        <w:t>31, 20X7, it would req</w:t>
      </w:r>
      <w:r w:rsidR="00000377">
        <w:t>uire 1,969,231 FC ($1,280,000  /</w:t>
      </w:r>
      <w:r>
        <w:t xml:space="preserve"> $0.65) to settle the loan. This represents an</w:t>
      </w:r>
    </w:p>
    <w:p w:rsidR="00A22EC8" w:rsidRDefault="00A22EC8" w:rsidP="00A22EC8">
      <w:r>
        <w:t>exchange g</w:t>
      </w:r>
      <w:r>
        <w:t>ain of 30,769 FC (2,000,000 FC -</w:t>
      </w:r>
      <w:r>
        <w:t xml:space="preserve"> 1,969,231 FC).</w:t>
      </w:r>
    </w:p>
    <w:p w:rsidR="00A22EC8" w:rsidRDefault="00A22EC8" w:rsidP="00A22EC8"/>
    <w:p w:rsidR="00A22EC8" w:rsidRDefault="00A22EC8" w:rsidP="00A22EC8">
      <w:r>
        <w:t>The year-end balance due to Balfour is determined as follows:</w:t>
      </w:r>
    </w:p>
    <w:p w:rsidR="00A22EC8" w:rsidRDefault="00A22EC8" w:rsidP="00A22EC8"/>
    <w:p w:rsidR="00A22EC8" w:rsidRDefault="00A22EC8" w:rsidP="00A22EC8">
      <w:r>
        <w:t>Principal</w:t>
      </w:r>
      <w:r>
        <w:t xml:space="preserve"> </w:t>
      </w:r>
      <w:r>
        <w:t>balance. . . . .. .. .... .. . .. .... .. .. . . . . . . . .. . . . . .</w:t>
      </w:r>
      <w:r>
        <w:tab/>
        <w:t xml:space="preserve"> 1,969,231 FC</w:t>
      </w:r>
    </w:p>
    <w:p w:rsidR="00A22EC8" w:rsidRDefault="00A22EC8" w:rsidP="00A22EC8">
      <w:r>
        <w:t>Accrued interest ($1,280,000 x 8% x 9/12 /</w:t>
      </w:r>
      <w:r>
        <w:t xml:space="preserve"> $0.65). . .. .. . . .</w:t>
      </w:r>
      <w:r>
        <w:tab/>
        <w:t xml:space="preserve"> 118,154</w:t>
      </w:r>
    </w:p>
    <w:p w:rsidR="00A22EC8" w:rsidRDefault="00A22EC8" w:rsidP="00A22EC8">
      <w:r>
        <w:t>Balance .. .... . . . .. .. .... .. . .. .... .. .. . . . . . . . .. . . . . .</w:t>
      </w:r>
      <w:r>
        <w:tab/>
        <w:t xml:space="preserve"> 2,087,385 FC</w:t>
      </w:r>
    </w:p>
    <w:p w:rsidR="00A22EC8" w:rsidRDefault="00A22EC8" w:rsidP="00A22EC8"/>
    <w:p w:rsidR="00A22EC8" w:rsidRDefault="00A22EC8" w:rsidP="00A22EC8">
      <w:r>
        <w:t>The interest is accrued at year-end; therefore, interest expense should be translated at the</w:t>
      </w:r>
    </w:p>
    <w:p w:rsidR="00A22EC8" w:rsidRDefault="00A22EC8" w:rsidP="00A22EC8">
      <w:r>
        <w:t>year-end rate.</w:t>
      </w:r>
    </w:p>
    <w:p w:rsidR="00A22EC8" w:rsidRDefault="00A22EC8" w:rsidP="00A22EC8"/>
    <w:p w:rsidR="00A22EC8" w:rsidRDefault="00A22EC8" w:rsidP="00A22EC8">
      <w:r>
        <w:t>Assuming the FC is Tobac’s functional currency, translate Tobac’s trial balance, and prepare</w:t>
      </w:r>
    </w:p>
    <w:p w:rsidR="00A22EC8" w:rsidRDefault="00A22EC8" w:rsidP="00A22EC8">
      <w:r>
        <w:t>a consolidating worksheet.</w:t>
      </w:r>
    </w:p>
    <w:sectPr w:rsidR="00A22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C8"/>
    <w:rsid w:val="00000377"/>
    <w:rsid w:val="00053BAC"/>
    <w:rsid w:val="005D1E05"/>
    <w:rsid w:val="00A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VonBruenchenhein</dc:creator>
  <cp:lastModifiedBy>Nicholas VonBruenchenhein</cp:lastModifiedBy>
  <cp:revision>2</cp:revision>
  <dcterms:created xsi:type="dcterms:W3CDTF">2015-05-29T15:29:00Z</dcterms:created>
  <dcterms:modified xsi:type="dcterms:W3CDTF">2015-05-29T15:45:00Z</dcterms:modified>
</cp:coreProperties>
</file>